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082CC" w14:textId="70F2D556" w:rsidR="0067744B" w:rsidRPr="00EC77A2" w:rsidRDefault="00EC77A2" w:rsidP="0067744B">
      <w:pPr>
        <w:pStyle w:val="Heading1"/>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DANCEBOX STUDIOS AND THEATRE WORKS</w:t>
      </w:r>
    </w:p>
    <w:p w14:paraId="2C2D1AA5" w14:textId="537908B7"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 xml:space="preserve">TIMETABLING POLICY SUITE </w:t>
      </w:r>
    </w:p>
    <w:p w14:paraId="53272DC4" w14:textId="41C7153B"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Next Review Date: September 2026</w:t>
      </w:r>
    </w:p>
    <w:p w14:paraId="7246392C" w14:textId="77777777" w:rsidR="00EC77A2" w:rsidRPr="00EC77A2" w:rsidRDefault="00EC77A2" w:rsidP="00EC77A2">
      <w:pPr>
        <w:rPr>
          <w:rFonts w:ascii="Avenir Book" w:hAnsi="Avenir Book"/>
          <w:color w:val="000000" w:themeColor="text1"/>
        </w:rPr>
      </w:pPr>
    </w:p>
    <w:p w14:paraId="2DB78765" w14:textId="64AB9359"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 xml:space="preserve">Timetabling Policy </w:t>
      </w:r>
    </w:p>
    <w:p w14:paraId="6FD7D4C1" w14:textId="1B399AFB"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Appendix A: Timetabling Complaints and Appeals Procedure</w:t>
      </w:r>
    </w:p>
    <w:p w14:paraId="3C9AA623" w14:textId="21B7652B"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Appendix B: HE Timetabling Addendum</w:t>
      </w:r>
    </w:p>
    <w:p w14:paraId="7982E739" w14:textId="78678C95" w:rsidR="00EC77A2" w:rsidRPr="00EC77A2" w:rsidRDefault="00EC77A2" w:rsidP="00EC77A2">
      <w:pPr>
        <w:rPr>
          <w:rFonts w:ascii="Avenir Book" w:hAnsi="Avenir Book"/>
          <w:color w:val="000000" w:themeColor="text1"/>
        </w:rPr>
      </w:pPr>
      <w:r w:rsidRPr="00EC77A2">
        <w:rPr>
          <w:rFonts w:ascii="Avenir Book" w:hAnsi="Avenir Book"/>
          <w:color w:val="000000" w:themeColor="text1"/>
        </w:rPr>
        <w:t xml:space="preserve">Appendix C: FE Timetabling Addendum </w:t>
      </w:r>
    </w:p>
    <w:p w14:paraId="031DA2BB" w14:textId="77777777" w:rsidR="00EC77A2" w:rsidRPr="00EC77A2" w:rsidRDefault="00EC77A2" w:rsidP="00EC77A2">
      <w:pPr>
        <w:rPr>
          <w:rFonts w:ascii="Avenir Book" w:hAnsi="Avenir Book"/>
          <w:color w:val="000000" w:themeColor="text1"/>
        </w:rPr>
      </w:pPr>
    </w:p>
    <w:p w14:paraId="353914F3" w14:textId="77777777" w:rsidR="00EC77A2" w:rsidRPr="00EC77A2" w:rsidRDefault="00EC77A2" w:rsidP="00EC77A2">
      <w:pPr>
        <w:rPr>
          <w:rFonts w:ascii="Avenir Book" w:hAnsi="Avenir Book"/>
          <w:color w:val="000000" w:themeColor="text1"/>
        </w:rPr>
      </w:pPr>
    </w:p>
    <w:p w14:paraId="23E34CBF" w14:textId="77777777" w:rsidR="00EC77A2" w:rsidRPr="00EC77A2" w:rsidRDefault="00EC77A2" w:rsidP="00EC77A2">
      <w:pPr>
        <w:rPr>
          <w:rFonts w:ascii="Avenir Book" w:hAnsi="Avenir Book"/>
          <w:color w:val="000000" w:themeColor="text1"/>
        </w:rPr>
      </w:pPr>
    </w:p>
    <w:p w14:paraId="5039748E" w14:textId="77777777" w:rsidR="00EC77A2" w:rsidRPr="00EC77A2" w:rsidRDefault="00EC77A2" w:rsidP="00EC77A2">
      <w:pPr>
        <w:rPr>
          <w:rFonts w:ascii="Avenir Book" w:hAnsi="Avenir Book"/>
          <w:color w:val="000000" w:themeColor="text1"/>
        </w:rPr>
      </w:pPr>
    </w:p>
    <w:p w14:paraId="7AE43B5F" w14:textId="77777777" w:rsidR="00EC77A2" w:rsidRPr="00EC77A2" w:rsidRDefault="00EC77A2" w:rsidP="00EC77A2">
      <w:pPr>
        <w:rPr>
          <w:rFonts w:ascii="Avenir Book" w:hAnsi="Avenir Book"/>
          <w:color w:val="000000" w:themeColor="text1"/>
        </w:rPr>
      </w:pPr>
    </w:p>
    <w:p w14:paraId="7E3839EF" w14:textId="77777777" w:rsidR="00EC77A2" w:rsidRPr="00EC77A2" w:rsidRDefault="00EC77A2" w:rsidP="00EC77A2">
      <w:pPr>
        <w:rPr>
          <w:rFonts w:ascii="Avenir Book" w:hAnsi="Avenir Book"/>
          <w:color w:val="000000" w:themeColor="text1"/>
        </w:rPr>
      </w:pPr>
    </w:p>
    <w:p w14:paraId="5E236B0D" w14:textId="77777777" w:rsidR="00EC77A2" w:rsidRPr="00EC77A2" w:rsidRDefault="00EC77A2" w:rsidP="00EC77A2">
      <w:pPr>
        <w:rPr>
          <w:rFonts w:ascii="Avenir Book" w:hAnsi="Avenir Book"/>
          <w:color w:val="000000" w:themeColor="text1"/>
        </w:rPr>
      </w:pPr>
    </w:p>
    <w:p w14:paraId="06B82391" w14:textId="77777777" w:rsidR="00EC77A2" w:rsidRPr="00EC77A2" w:rsidRDefault="00EC77A2" w:rsidP="00EC77A2">
      <w:pPr>
        <w:rPr>
          <w:rFonts w:ascii="Avenir Book" w:hAnsi="Avenir Book"/>
          <w:color w:val="000000" w:themeColor="text1"/>
        </w:rPr>
      </w:pPr>
    </w:p>
    <w:p w14:paraId="673687A4" w14:textId="77777777" w:rsidR="00EC77A2" w:rsidRPr="00EC77A2" w:rsidRDefault="00EC77A2" w:rsidP="00EC77A2">
      <w:pPr>
        <w:rPr>
          <w:rFonts w:ascii="Avenir Book" w:hAnsi="Avenir Book"/>
          <w:color w:val="000000" w:themeColor="text1"/>
        </w:rPr>
      </w:pPr>
    </w:p>
    <w:p w14:paraId="0DF3694B" w14:textId="77777777" w:rsidR="00EC77A2" w:rsidRPr="00EC77A2" w:rsidRDefault="00EC77A2" w:rsidP="00EC77A2">
      <w:pPr>
        <w:rPr>
          <w:rFonts w:ascii="Avenir Book" w:hAnsi="Avenir Book"/>
          <w:color w:val="000000" w:themeColor="text1"/>
        </w:rPr>
      </w:pPr>
    </w:p>
    <w:p w14:paraId="7E821E5E" w14:textId="77777777" w:rsidR="00EC77A2" w:rsidRPr="00EC77A2" w:rsidRDefault="00EC77A2" w:rsidP="00EC77A2">
      <w:pPr>
        <w:rPr>
          <w:rFonts w:ascii="Avenir Book" w:hAnsi="Avenir Book"/>
          <w:color w:val="000000" w:themeColor="text1"/>
        </w:rPr>
      </w:pPr>
    </w:p>
    <w:p w14:paraId="41876338" w14:textId="77777777" w:rsidR="00EC77A2" w:rsidRPr="00EC77A2" w:rsidRDefault="00EC77A2" w:rsidP="00EC77A2">
      <w:pPr>
        <w:rPr>
          <w:rFonts w:ascii="Avenir Book" w:hAnsi="Avenir Book"/>
          <w:color w:val="000000" w:themeColor="text1"/>
        </w:rPr>
      </w:pPr>
    </w:p>
    <w:p w14:paraId="5C018DA7" w14:textId="77777777" w:rsidR="00EC77A2" w:rsidRPr="00EC77A2" w:rsidRDefault="00EC77A2" w:rsidP="00EC77A2">
      <w:pPr>
        <w:rPr>
          <w:rFonts w:ascii="Avenir Book" w:hAnsi="Avenir Book"/>
          <w:color w:val="000000" w:themeColor="text1"/>
        </w:rPr>
      </w:pPr>
    </w:p>
    <w:p w14:paraId="2D9B8B95" w14:textId="77777777" w:rsidR="00EC77A2" w:rsidRPr="00EC77A2" w:rsidRDefault="00EC77A2" w:rsidP="00EC77A2">
      <w:pPr>
        <w:rPr>
          <w:rFonts w:ascii="Avenir Book" w:hAnsi="Avenir Book"/>
          <w:color w:val="000000" w:themeColor="text1"/>
        </w:rPr>
      </w:pPr>
    </w:p>
    <w:p w14:paraId="079A8C76" w14:textId="77777777" w:rsidR="00EC77A2" w:rsidRPr="00EC77A2" w:rsidRDefault="00EC77A2" w:rsidP="00EC77A2">
      <w:pPr>
        <w:rPr>
          <w:rFonts w:ascii="Avenir Book" w:hAnsi="Avenir Book"/>
          <w:color w:val="000000" w:themeColor="text1"/>
        </w:rPr>
      </w:pPr>
    </w:p>
    <w:p w14:paraId="7618A2E4" w14:textId="661A2D44" w:rsidR="00EC77A2" w:rsidRPr="00EC77A2" w:rsidRDefault="00EC77A2" w:rsidP="00EC77A2">
      <w:pPr>
        <w:pStyle w:val="Heading1"/>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lastRenderedPageBreak/>
        <w:t xml:space="preserve">Timetabling Policy </w:t>
      </w:r>
    </w:p>
    <w:p w14:paraId="3F399B79"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1. Purpose</w:t>
      </w:r>
    </w:p>
    <w:p w14:paraId="200E3631" w14:textId="04A66A0B"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 xml:space="preserve">The purpose of this policy suite is to establish a coherent, equitable, and transparent framework for the planning, delivery, and review of timetabled learning activities across </w:t>
      </w:r>
      <w:r w:rsidRPr="00EC77A2">
        <w:rPr>
          <w:rFonts w:ascii="Avenir Book" w:hAnsi="Avenir Book"/>
          <w:color w:val="000000" w:themeColor="text1"/>
          <w:sz w:val="22"/>
          <w:szCs w:val="22"/>
        </w:rPr>
        <w:t>Dancebox Studios and Theatre Works</w:t>
      </w:r>
      <w:r w:rsidRPr="00EC77A2">
        <w:rPr>
          <w:rFonts w:ascii="Avenir Book" w:hAnsi="Avenir Book"/>
          <w:color w:val="000000" w:themeColor="text1"/>
          <w:sz w:val="22"/>
          <w:szCs w:val="22"/>
        </w:rPr>
        <w:t xml:space="preserve"> Further Education (FE) and Higher Education (HE) provision. The policy supports effective curriculum delivery, learner engagement, safeguarding, quality assurance, and compliance with regulatory and inspection requirements.</w:t>
      </w:r>
    </w:p>
    <w:p w14:paraId="5C41C958"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2. Scope</w:t>
      </w:r>
    </w:p>
    <w:p w14:paraId="62D6231D"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This policy suite applies to:</w:t>
      </w:r>
    </w:p>
    <w:p w14:paraId="4C0DE9D3" w14:textId="1F483C9A" w:rsidR="00EC77A2" w:rsidRPr="00EC77A2" w:rsidRDefault="00EC77A2" w:rsidP="00EC77A2">
      <w:pPr>
        <w:pStyle w:val="NormalWeb"/>
        <w:numPr>
          <w:ilvl w:val="0"/>
          <w:numId w:val="18"/>
        </w:numPr>
        <w:rPr>
          <w:rFonts w:ascii="Avenir Book" w:hAnsi="Avenir Book"/>
          <w:color w:val="000000" w:themeColor="text1"/>
          <w:sz w:val="22"/>
          <w:szCs w:val="22"/>
        </w:rPr>
      </w:pPr>
      <w:r w:rsidRPr="00EC77A2">
        <w:rPr>
          <w:rFonts w:ascii="Avenir Book" w:hAnsi="Avenir Book"/>
          <w:color w:val="000000" w:themeColor="text1"/>
          <w:sz w:val="22"/>
          <w:szCs w:val="22"/>
        </w:rPr>
        <w:t xml:space="preserve">All FE and HE programmes delivered by </w:t>
      </w:r>
      <w:r w:rsidRPr="00EC77A2">
        <w:rPr>
          <w:rFonts w:ascii="Avenir Book" w:hAnsi="Avenir Book"/>
          <w:color w:val="000000" w:themeColor="text1"/>
          <w:sz w:val="22"/>
          <w:szCs w:val="22"/>
        </w:rPr>
        <w:t xml:space="preserve">Dancebox Studios and Theatre Works </w:t>
      </w:r>
    </w:p>
    <w:p w14:paraId="4CD018C5" w14:textId="77777777" w:rsidR="00EC77A2" w:rsidRPr="00EC77A2" w:rsidRDefault="00EC77A2" w:rsidP="00EC77A2">
      <w:pPr>
        <w:pStyle w:val="NormalWeb"/>
        <w:numPr>
          <w:ilvl w:val="0"/>
          <w:numId w:val="18"/>
        </w:numPr>
        <w:rPr>
          <w:rFonts w:ascii="Avenir Book" w:hAnsi="Avenir Book"/>
          <w:color w:val="000000" w:themeColor="text1"/>
          <w:sz w:val="22"/>
          <w:szCs w:val="22"/>
        </w:rPr>
      </w:pPr>
      <w:r w:rsidRPr="00EC77A2">
        <w:rPr>
          <w:rFonts w:ascii="Avenir Book" w:hAnsi="Avenir Book"/>
          <w:color w:val="000000" w:themeColor="text1"/>
          <w:sz w:val="22"/>
          <w:szCs w:val="22"/>
        </w:rPr>
        <w:t>All students, including those aged 16–18</w:t>
      </w:r>
    </w:p>
    <w:p w14:paraId="66532497" w14:textId="77777777" w:rsidR="00EC77A2" w:rsidRPr="00EC77A2" w:rsidRDefault="00EC77A2" w:rsidP="00EC77A2">
      <w:pPr>
        <w:pStyle w:val="NormalWeb"/>
        <w:numPr>
          <w:ilvl w:val="0"/>
          <w:numId w:val="18"/>
        </w:numPr>
        <w:rPr>
          <w:rFonts w:ascii="Avenir Book" w:hAnsi="Avenir Book"/>
          <w:color w:val="000000" w:themeColor="text1"/>
          <w:sz w:val="22"/>
          <w:szCs w:val="22"/>
        </w:rPr>
      </w:pPr>
      <w:r w:rsidRPr="00EC77A2">
        <w:rPr>
          <w:rFonts w:ascii="Avenir Book" w:hAnsi="Avenir Book"/>
          <w:color w:val="000000" w:themeColor="text1"/>
          <w:sz w:val="22"/>
          <w:szCs w:val="22"/>
        </w:rPr>
        <w:t>All academic and support staff involved in curriculum planning and delivery</w:t>
      </w:r>
    </w:p>
    <w:p w14:paraId="1EAFABB2" w14:textId="77777777" w:rsidR="00EC77A2" w:rsidRPr="00EC77A2" w:rsidRDefault="00EC77A2" w:rsidP="00EC77A2">
      <w:pPr>
        <w:pStyle w:val="NormalWeb"/>
        <w:numPr>
          <w:ilvl w:val="0"/>
          <w:numId w:val="18"/>
        </w:numPr>
        <w:rPr>
          <w:rFonts w:ascii="Avenir Book" w:hAnsi="Avenir Book"/>
          <w:color w:val="000000" w:themeColor="text1"/>
          <w:sz w:val="22"/>
          <w:szCs w:val="22"/>
        </w:rPr>
      </w:pPr>
      <w:r w:rsidRPr="00EC77A2">
        <w:rPr>
          <w:rFonts w:ascii="Avenir Book" w:hAnsi="Avenir Book"/>
          <w:color w:val="000000" w:themeColor="text1"/>
          <w:sz w:val="22"/>
          <w:szCs w:val="22"/>
        </w:rPr>
        <w:t>All timetabled learning activities, including on-campus, online, and hybrid provision</w:t>
      </w:r>
    </w:p>
    <w:p w14:paraId="545A8249"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3. Legislative and Regulatory Context</w:t>
      </w:r>
    </w:p>
    <w:p w14:paraId="2F451452"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This policy operates within the context of:</w:t>
      </w:r>
    </w:p>
    <w:p w14:paraId="0829538D" w14:textId="77777777" w:rsidR="00EC77A2" w:rsidRPr="00EC77A2" w:rsidRDefault="00EC77A2" w:rsidP="00EC77A2">
      <w:pPr>
        <w:pStyle w:val="NormalWeb"/>
        <w:numPr>
          <w:ilvl w:val="0"/>
          <w:numId w:val="19"/>
        </w:numPr>
        <w:rPr>
          <w:rFonts w:ascii="Avenir Book" w:hAnsi="Avenir Book"/>
          <w:color w:val="000000" w:themeColor="text1"/>
          <w:sz w:val="22"/>
          <w:szCs w:val="22"/>
        </w:rPr>
      </w:pPr>
      <w:r w:rsidRPr="00EC77A2">
        <w:rPr>
          <w:rFonts w:ascii="Avenir Book" w:hAnsi="Avenir Book"/>
          <w:color w:val="000000" w:themeColor="text1"/>
          <w:sz w:val="22"/>
          <w:szCs w:val="22"/>
        </w:rPr>
        <w:t>Ofsted Education Inspection Framework (FE provision)</w:t>
      </w:r>
    </w:p>
    <w:p w14:paraId="3476FFD2" w14:textId="77777777" w:rsidR="00EC77A2" w:rsidRPr="00EC77A2" w:rsidRDefault="00EC77A2" w:rsidP="00EC77A2">
      <w:pPr>
        <w:pStyle w:val="NormalWeb"/>
        <w:numPr>
          <w:ilvl w:val="0"/>
          <w:numId w:val="19"/>
        </w:numPr>
        <w:rPr>
          <w:rFonts w:ascii="Avenir Book" w:hAnsi="Avenir Book"/>
          <w:color w:val="000000" w:themeColor="text1"/>
          <w:sz w:val="22"/>
          <w:szCs w:val="22"/>
        </w:rPr>
      </w:pPr>
      <w:r w:rsidRPr="00EC77A2">
        <w:rPr>
          <w:rFonts w:ascii="Avenir Book" w:hAnsi="Avenir Book"/>
          <w:color w:val="000000" w:themeColor="text1"/>
          <w:sz w:val="22"/>
          <w:szCs w:val="22"/>
        </w:rPr>
        <w:t>Office for Students regulatory framework</w:t>
      </w:r>
    </w:p>
    <w:p w14:paraId="5440EC96" w14:textId="77777777" w:rsidR="00EC77A2" w:rsidRPr="00EC77A2" w:rsidRDefault="00EC77A2" w:rsidP="00EC77A2">
      <w:pPr>
        <w:pStyle w:val="NormalWeb"/>
        <w:numPr>
          <w:ilvl w:val="0"/>
          <w:numId w:val="19"/>
        </w:numPr>
        <w:rPr>
          <w:rFonts w:ascii="Avenir Book" w:hAnsi="Avenir Book"/>
          <w:color w:val="000000" w:themeColor="text1"/>
          <w:sz w:val="22"/>
          <w:szCs w:val="22"/>
        </w:rPr>
      </w:pPr>
      <w:r w:rsidRPr="00EC77A2">
        <w:rPr>
          <w:rFonts w:ascii="Avenir Book" w:hAnsi="Avenir Book"/>
          <w:color w:val="000000" w:themeColor="text1"/>
          <w:sz w:val="22"/>
          <w:szCs w:val="22"/>
        </w:rPr>
        <w:t>UK Quality Code for Higher Education (QAA)</w:t>
      </w:r>
    </w:p>
    <w:p w14:paraId="59C11367" w14:textId="77777777" w:rsidR="00EC77A2" w:rsidRPr="00EC77A2" w:rsidRDefault="00EC77A2" w:rsidP="00EC77A2">
      <w:pPr>
        <w:pStyle w:val="NormalWeb"/>
        <w:numPr>
          <w:ilvl w:val="0"/>
          <w:numId w:val="19"/>
        </w:numPr>
        <w:rPr>
          <w:rFonts w:ascii="Avenir Book" w:hAnsi="Avenir Book"/>
          <w:color w:val="000000" w:themeColor="text1"/>
          <w:sz w:val="22"/>
          <w:szCs w:val="22"/>
        </w:rPr>
      </w:pPr>
      <w:r w:rsidRPr="00EC77A2">
        <w:rPr>
          <w:rFonts w:ascii="Avenir Book" w:hAnsi="Avenir Book"/>
          <w:color w:val="000000" w:themeColor="text1"/>
          <w:sz w:val="22"/>
          <w:szCs w:val="22"/>
        </w:rPr>
        <w:t>Equality Act 2010</w:t>
      </w:r>
    </w:p>
    <w:p w14:paraId="5F12393F" w14:textId="77777777" w:rsidR="00EC77A2" w:rsidRPr="00EC77A2" w:rsidRDefault="00EC77A2" w:rsidP="00EC77A2">
      <w:pPr>
        <w:pStyle w:val="NormalWeb"/>
        <w:numPr>
          <w:ilvl w:val="0"/>
          <w:numId w:val="19"/>
        </w:numPr>
        <w:rPr>
          <w:rFonts w:ascii="Avenir Book" w:hAnsi="Avenir Book"/>
          <w:color w:val="000000" w:themeColor="text1"/>
          <w:sz w:val="22"/>
          <w:szCs w:val="22"/>
        </w:rPr>
      </w:pPr>
      <w:r w:rsidRPr="00EC77A2">
        <w:rPr>
          <w:rFonts w:ascii="Avenir Book" w:hAnsi="Avenir Book"/>
          <w:color w:val="000000" w:themeColor="text1"/>
          <w:sz w:val="22"/>
          <w:szCs w:val="22"/>
        </w:rPr>
        <w:t>Safeguarding and child protection legislation</w:t>
      </w:r>
    </w:p>
    <w:p w14:paraId="592B1621"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4. Principles</w:t>
      </w:r>
    </w:p>
    <w:p w14:paraId="64FCCD92"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Timetabling arrangements are underpinned by the following principles:</w:t>
      </w:r>
    </w:p>
    <w:p w14:paraId="51675538" w14:textId="77777777" w:rsidR="00EC77A2" w:rsidRPr="00EC77A2" w:rsidRDefault="00EC77A2" w:rsidP="00EC77A2">
      <w:pPr>
        <w:pStyle w:val="NormalWeb"/>
        <w:numPr>
          <w:ilvl w:val="0"/>
          <w:numId w:val="20"/>
        </w:numPr>
        <w:rPr>
          <w:rFonts w:ascii="Avenir Book" w:hAnsi="Avenir Book"/>
          <w:color w:val="000000" w:themeColor="text1"/>
          <w:sz w:val="22"/>
          <w:szCs w:val="22"/>
        </w:rPr>
      </w:pPr>
      <w:r w:rsidRPr="00EC77A2">
        <w:rPr>
          <w:rFonts w:ascii="Avenir Book" w:hAnsi="Avenir Book"/>
          <w:color w:val="000000" w:themeColor="text1"/>
          <w:sz w:val="22"/>
          <w:szCs w:val="22"/>
        </w:rPr>
        <w:t>Educational coherence and curriculum intent</w:t>
      </w:r>
    </w:p>
    <w:p w14:paraId="043D36DD" w14:textId="77777777" w:rsidR="00EC77A2" w:rsidRPr="00EC77A2" w:rsidRDefault="00EC77A2" w:rsidP="00EC77A2">
      <w:pPr>
        <w:pStyle w:val="NormalWeb"/>
        <w:numPr>
          <w:ilvl w:val="0"/>
          <w:numId w:val="20"/>
        </w:numPr>
        <w:rPr>
          <w:rFonts w:ascii="Avenir Book" w:hAnsi="Avenir Book"/>
          <w:color w:val="000000" w:themeColor="text1"/>
          <w:sz w:val="22"/>
          <w:szCs w:val="22"/>
        </w:rPr>
      </w:pPr>
      <w:r w:rsidRPr="00EC77A2">
        <w:rPr>
          <w:rFonts w:ascii="Avenir Book" w:hAnsi="Avenir Book"/>
          <w:color w:val="000000" w:themeColor="text1"/>
          <w:sz w:val="22"/>
          <w:szCs w:val="22"/>
        </w:rPr>
        <w:t>Equity and fairness in access to learning</w:t>
      </w:r>
    </w:p>
    <w:p w14:paraId="3B6E76E1" w14:textId="77777777" w:rsidR="00EC77A2" w:rsidRPr="00EC77A2" w:rsidRDefault="00EC77A2" w:rsidP="00EC77A2">
      <w:pPr>
        <w:pStyle w:val="NormalWeb"/>
        <w:numPr>
          <w:ilvl w:val="0"/>
          <w:numId w:val="20"/>
        </w:numPr>
        <w:rPr>
          <w:rFonts w:ascii="Avenir Book" w:hAnsi="Avenir Book"/>
          <w:color w:val="000000" w:themeColor="text1"/>
          <w:sz w:val="22"/>
          <w:szCs w:val="22"/>
        </w:rPr>
      </w:pPr>
      <w:r w:rsidRPr="00EC77A2">
        <w:rPr>
          <w:rFonts w:ascii="Avenir Book" w:hAnsi="Avenir Book"/>
          <w:color w:val="000000" w:themeColor="text1"/>
          <w:sz w:val="22"/>
          <w:szCs w:val="22"/>
        </w:rPr>
        <w:t>Safeguarding and learner welfare</w:t>
      </w:r>
    </w:p>
    <w:p w14:paraId="17D3713A" w14:textId="77777777" w:rsidR="00EC77A2" w:rsidRPr="00EC77A2" w:rsidRDefault="00EC77A2" w:rsidP="00EC77A2">
      <w:pPr>
        <w:pStyle w:val="NormalWeb"/>
        <w:numPr>
          <w:ilvl w:val="0"/>
          <w:numId w:val="20"/>
        </w:numPr>
        <w:rPr>
          <w:rFonts w:ascii="Avenir Book" w:hAnsi="Avenir Book"/>
          <w:color w:val="000000" w:themeColor="text1"/>
          <w:sz w:val="22"/>
          <w:szCs w:val="22"/>
        </w:rPr>
      </w:pPr>
      <w:r w:rsidRPr="00EC77A2">
        <w:rPr>
          <w:rFonts w:ascii="Avenir Book" w:hAnsi="Avenir Book"/>
          <w:color w:val="000000" w:themeColor="text1"/>
          <w:sz w:val="22"/>
          <w:szCs w:val="22"/>
        </w:rPr>
        <w:t>Efficient and effective use of resources</w:t>
      </w:r>
    </w:p>
    <w:p w14:paraId="25AB8F98" w14:textId="77777777" w:rsidR="00EC77A2" w:rsidRPr="00EC77A2" w:rsidRDefault="00EC77A2" w:rsidP="00EC77A2">
      <w:pPr>
        <w:pStyle w:val="NormalWeb"/>
        <w:numPr>
          <w:ilvl w:val="0"/>
          <w:numId w:val="20"/>
        </w:numPr>
        <w:rPr>
          <w:rFonts w:ascii="Avenir Book" w:hAnsi="Avenir Book"/>
          <w:color w:val="000000" w:themeColor="text1"/>
          <w:sz w:val="22"/>
          <w:szCs w:val="22"/>
        </w:rPr>
      </w:pPr>
      <w:r w:rsidRPr="00EC77A2">
        <w:rPr>
          <w:rFonts w:ascii="Avenir Book" w:hAnsi="Avenir Book"/>
          <w:color w:val="000000" w:themeColor="text1"/>
          <w:sz w:val="22"/>
          <w:szCs w:val="22"/>
        </w:rPr>
        <w:t>Transparency, consistency, and accountability</w:t>
      </w:r>
    </w:p>
    <w:p w14:paraId="41B085AC"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lastRenderedPageBreak/>
        <w:t>5. Roles and Responsibilities</w:t>
      </w:r>
    </w:p>
    <w:p w14:paraId="556CB0F6" w14:textId="5277C084"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t>5.</w:t>
      </w:r>
      <w:r w:rsidRPr="00EC77A2">
        <w:rPr>
          <w:rFonts w:ascii="Avenir Book" w:hAnsi="Avenir Book"/>
          <w:b w:val="0"/>
          <w:bCs w:val="0"/>
          <w:color w:val="000000" w:themeColor="text1"/>
        </w:rPr>
        <w:t>21</w:t>
      </w:r>
      <w:r w:rsidRPr="00EC77A2">
        <w:rPr>
          <w:rFonts w:ascii="Avenir Book" w:hAnsi="Avenir Book"/>
          <w:b w:val="0"/>
          <w:bCs w:val="0"/>
          <w:color w:val="000000" w:themeColor="text1"/>
        </w:rPr>
        <w:t xml:space="preserve"> Senior Leadership Team</w:t>
      </w:r>
    </w:p>
    <w:p w14:paraId="45CDB119"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The Senior Leadership Team ensures that timetabling processes align with strategic priorities, regulatory requirements, and quality assurance frameworks.</w:t>
      </w:r>
    </w:p>
    <w:p w14:paraId="5DDB4279" w14:textId="77777777" w:rsidR="00EC77A2" w:rsidRPr="00EC77A2" w:rsidRDefault="00EC77A2" w:rsidP="00EC77A2">
      <w:pPr>
        <w:pStyle w:val="NormalWeb"/>
        <w:numPr>
          <w:ilvl w:val="0"/>
          <w:numId w:val="21"/>
        </w:numPr>
        <w:rPr>
          <w:rFonts w:ascii="Avenir Book" w:hAnsi="Avenir Book"/>
          <w:color w:val="000000" w:themeColor="text1"/>
          <w:sz w:val="22"/>
          <w:szCs w:val="22"/>
        </w:rPr>
      </w:pPr>
      <w:r w:rsidRPr="00EC77A2">
        <w:rPr>
          <w:rFonts w:ascii="Avenir Book" w:hAnsi="Avenir Book"/>
          <w:color w:val="000000" w:themeColor="text1"/>
          <w:sz w:val="22"/>
          <w:szCs w:val="22"/>
        </w:rPr>
        <w:t>Coordinating timetable planning across FE and HE provision</w:t>
      </w:r>
    </w:p>
    <w:p w14:paraId="3F92108C" w14:textId="77777777" w:rsidR="00EC77A2" w:rsidRPr="00EC77A2" w:rsidRDefault="00EC77A2" w:rsidP="00EC77A2">
      <w:pPr>
        <w:pStyle w:val="NormalWeb"/>
        <w:numPr>
          <w:ilvl w:val="0"/>
          <w:numId w:val="21"/>
        </w:numPr>
        <w:rPr>
          <w:rFonts w:ascii="Avenir Book" w:hAnsi="Avenir Book"/>
          <w:color w:val="000000" w:themeColor="text1"/>
          <w:sz w:val="22"/>
          <w:szCs w:val="22"/>
        </w:rPr>
      </w:pPr>
      <w:r w:rsidRPr="00EC77A2">
        <w:rPr>
          <w:rFonts w:ascii="Avenir Book" w:hAnsi="Avenir Book"/>
          <w:color w:val="000000" w:themeColor="text1"/>
          <w:sz w:val="22"/>
          <w:szCs w:val="22"/>
        </w:rPr>
        <w:t>Allocating appropriate teaching spaces and specialist facilities</w:t>
      </w:r>
    </w:p>
    <w:p w14:paraId="6191969C" w14:textId="77777777" w:rsidR="00EC77A2" w:rsidRPr="00EC77A2" w:rsidRDefault="00EC77A2" w:rsidP="00EC77A2">
      <w:pPr>
        <w:pStyle w:val="NormalWeb"/>
        <w:numPr>
          <w:ilvl w:val="0"/>
          <w:numId w:val="21"/>
        </w:numPr>
        <w:rPr>
          <w:rFonts w:ascii="Avenir Book" w:hAnsi="Avenir Book"/>
          <w:color w:val="000000" w:themeColor="text1"/>
          <w:sz w:val="22"/>
          <w:szCs w:val="22"/>
        </w:rPr>
      </w:pPr>
      <w:r w:rsidRPr="00EC77A2">
        <w:rPr>
          <w:rFonts w:ascii="Avenir Book" w:hAnsi="Avenir Book"/>
          <w:color w:val="000000" w:themeColor="text1"/>
          <w:sz w:val="22"/>
          <w:szCs w:val="22"/>
        </w:rPr>
        <w:t>Ensuring compliance with safeguarding, health and safety, and accessibility requirements</w:t>
      </w:r>
    </w:p>
    <w:p w14:paraId="294BD104" w14:textId="25085E4A"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t>5.</w:t>
      </w:r>
      <w:r w:rsidRPr="00EC77A2">
        <w:rPr>
          <w:rFonts w:ascii="Avenir Book" w:hAnsi="Avenir Book"/>
          <w:b w:val="0"/>
          <w:bCs w:val="0"/>
          <w:color w:val="000000" w:themeColor="text1"/>
        </w:rPr>
        <w:t>1</w:t>
      </w:r>
      <w:r w:rsidRPr="00EC77A2">
        <w:rPr>
          <w:rFonts w:ascii="Avenir Book" w:hAnsi="Avenir Book"/>
          <w:b w:val="0"/>
          <w:bCs w:val="0"/>
          <w:color w:val="000000" w:themeColor="text1"/>
        </w:rPr>
        <w:t xml:space="preserve"> </w:t>
      </w:r>
      <w:r w:rsidRPr="00EC77A2">
        <w:rPr>
          <w:rFonts w:ascii="Avenir Book" w:hAnsi="Avenir Book"/>
          <w:b w:val="0"/>
          <w:bCs w:val="0"/>
          <w:color w:val="000000" w:themeColor="text1"/>
        </w:rPr>
        <w:t>Course Leaders</w:t>
      </w:r>
    </w:p>
    <w:p w14:paraId="5C9E40F9" w14:textId="2C3AA169"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Course</w:t>
      </w:r>
      <w:r w:rsidRPr="00EC77A2">
        <w:rPr>
          <w:rFonts w:ascii="Avenir Book" w:hAnsi="Avenir Book"/>
          <w:color w:val="000000" w:themeColor="text1"/>
          <w:sz w:val="22"/>
          <w:szCs w:val="22"/>
        </w:rPr>
        <w:t xml:space="preserve"> Leaders are responsible for:</w:t>
      </w:r>
    </w:p>
    <w:p w14:paraId="3E2F64FA" w14:textId="77777777" w:rsidR="00EC77A2" w:rsidRPr="00EC77A2" w:rsidRDefault="00EC77A2" w:rsidP="00EC77A2">
      <w:pPr>
        <w:pStyle w:val="NormalWeb"/>
        <w:numPr>
          <w:ilvl w:val="0"/>
          <w:numId w:val="22"/>
        </w:numPr>
        <w:rPr>
          <w:rFonts w:ascii="Avenir Book" w:hAnsi="Avenir Book"/>
          <w:color w:val="000000" w:themeColor="text1"/>
          <w:sz w:val="22"/>
          <w:szCs w:val="22"/>
        </w:rPr>
      </w:pPr>
      <w:r w:rsidRPr="00EC77A2">
        <w:rPr>
          <w:rFonts w:ascii="Avenir Book" w:hAnsi="Avenir Book"/>
          <w:color w:val="000000" w:themeColor="text1"/>
          <w:sz w:val="22"/>
          <w:szCs w:val="22"/>
        </w:rPr>
        <w:t>Providing accurate programme structures and staffing information</w:t>
      </w:r>
    </w:p>
    <w:p w14:paraId="3B41A077" w14:textId="77777777" w:rsidR="00EC77A2" w:rsidRPr="00EC77A2" w:rsidRDefault="00EC77A2" w:rsidP="00EC77A2">
      <w:pPr>
        <w:pStyle w:val="NormalWeb"/>
        <w:numPr>
          <w:ilvl w:val="0"/>
          <w:numId w:val="22"/>
        </w:numPr>
        <w:rPr>
          <w:rFonts w:ascii="Avenir Book" w:hAnsi="Avenir Book"/>
          <w:color w:val="000000" w:themeColor="text1"/>
          <w:sz w:val="22"/>
          <w:szCs w:val="22"/>
        </w:rPr>
      </w:pPr>
      <w:r w:rsidRPr="00EC77A2">
        <w:rPr>
          <w:rFonts w:ascii="Avenir Book" w:hAnsi="Avenir Book"/>
          <w:color w:val="000000" w:themeColor="text1"/>
          <w:sz w:val="22"/>
          <w:szCs w:val="22"/>
        </w:rPr>
        <w:t>Ensuring timetables support pedagogical and assessment requirements</w:t>
      </w:r>
    </w:p>
    <w:p w14:paraId="5FB5C04F" w14:textId="77777777" w:rsidR="00EC77A2" w:rsidRPr="00EC77A2" w:rsidRDefault="00EC77A2" w:rsidP="00EC77A2">
      <w:pPr>
        <w:pStyle w:val="NormalWeb"/>
        <w:numPr>
          <w:ilvl w:val="0"/>
          <w:numId w:val="22"/>
        </w:numPr>
        <w:rPr>
          <w:rFonts w:ascii="Avenir Book" w:hAnsi="Avenir Book"/>
          <w:color w:val="000000" w:themeColor="text1"/>
          <w:sz w:val="22"/>
          <w:szCs w:val="22"/>
        </w:rPr>
      </w:pPr>
      <w:r w:rsidRPr="00EC77A2">
        <w:rPr>
          <w:rFonts w:ascii="Avenir Book" w:hAnsi="Avenir Book"/>
          <w:color w:val="000000" w:themeColor="text1"/>
          <w:sz w:val="22"/>
          <w:szCs w:val="22"/>
        </w:rPr>
        <w:t>Identifying programme-specific constraints or learner needs</w:t>
      </w:r>
    </w:p>
    <w:p w14:paraId="5A9F70B0" w14:textId="3A3BA429"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t>5</w:t>
      </w:r>
      <w:r w:rsidRPr="00EC77A2">
        <w:rPr>
          <w:rFonts w:ascii="Avenir Book" w:hAnsi="Avenir Book"/>
          <w:b w:val="0"/>
          <w:bCs w:val="0"/>
          <w:color w:val="000000" w:themeColor="text1"/>
        </w:rPr>
        <w:t>.2</w:t>
      </w:r>
      <w:r w:rsidRPr="00EC77A2">
        <w:rPr>
          <w:rFonts w:ascii="Avenir Book" w:hAnsi="Avenir Book"/>
          <w:b w:val="0"/>
          <w:bCs w:val="0"/>
          <w:color w:val="000000" w:themeColor="text1"/>
        </w:rPr>
        <w:t xml:space="preserve"> Staff and Students</w:t>
      </w:r>
    </w:p>
    <w:p w14:paraId="31B2EF8C"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Staff and students are expected to engage with published timetables and communicate concerns through appropriate channels.</w:t>
      </w:r>
    </w:p>
    <w:p w14:paraId="389C9F02"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6. Timetable Design and Planning</w:t>
      </w:r>
    </w:p>
    <w:p w14:paraId="6B8CDEB3" w14:textId="77777777"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t>6.1 Academic Considerations</w:t>
      </w:r>
    </w:p>
    <w:p w14:paraId="1648641A"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Timetables will:</w:t>
      </w:r>
    </w:p>
    <w:p w14:paraId="723502A6" w14:textId="77777777" w:rsidR="00EC77A2" w:rsidRPr="00EC77A2" w:rsidRDefault="00EC77A2" w:rsidP="00EC77A2">
      <w:pPr>
        <w:pStyle w:val="NormalWeb"/>
        <w:numPr>
          <w:ilvl w:val="0"/>
          <w:numId w:val="23"/>
        </w:numPr>
        <w:rPr>
          <w:rFonts w:ascii="Avenir Book" w:hAnsi="Avenir Book"/>
          <w:color w:val="000000" w:themeColor="text1"/>
          <w:sz w:val="22"/>
          <w:szCs w:val="22"/>
        </w:rPr>
      </w:pPr>
      <w:r w:rsidRPr="00EC77A2">
        <w:rPr>
          <w:rFonts w:ascii="Avenir Book" w:hAnsi="Avenir Book"/>
          <w:color w:val="000000" w:themeColor="text1"/>
          <w:sz w:val="22"/>
          <w:szCs w:val="22"/>
        </w:rPr>
        <w:t>Support progression and achievement</w:t>
      </w:r>
    </w:p>
    <w:p w14:paraId="76B385E6" w14:textId="77777777" w:rsidR="00EC77A2" w:rsidRPr="00EC77A2" w:rsidRDefault="00EC77A2" w:rsidP="00EC77A2">
      <w:pPr>
        <w:pStyle w:val="NormalWeb"/>
        <w:numPr>
          <w:ilvl w:val="0"/>
          <w:numId w:val="23"/>
        </w:numPr>
        <w:rPr>
          <w:rFonts w:ascii="Avenir Book" w:hAnsi="Avenir Book"/>
          <w:color w:val="000000" w:themeColor="text1"/>
          <w:sz w:val="22"/>
          <w:szCs w:val="22"/>
        </w:rPr>
      </w:pPr>
      <w:r w:rsidRPr="00EC77A2">
        <w:rPr>
          <w:rFonts w:ascii="Avenir Book" w:hAnsi="Avenir Book"/>
          <w:color w:val="000000" w:themeColor="text1"/>
          <w:sz w:val="22"/>
          <w:szCs w:val="22"/>
        </w:rPr>
        <w:t>Avoid unreasonable clustering of sessions or assessments</w:t>
      </w:r>
    </w:p>
    <w:p w14:paraId="6024C276" w14:textId="77777777" w:rsidR="00EC77A2" w:rsidRPr="00EC77A2" w:rsidRDefault="00EC77A2" w:rsidP="00EC77A2">
      <w:pPr>
        <w:pStyle w:val="NormalWeb"/>
        <w:numPr>
          <w:ilvl w:val="0"/>
          <w:numId w:val="23"/>
        </w:numPr>
        <w:rPr>
          <w:rFonts w:ascii="Avenir Book" w:hAnsi="Avenir Book"/>
          <w:color w:val="000000" w:themeColor="text1"/>
          <w:sz w:val="22"/>
          <w:szCs w:val="22"/>
        </w:rPr>
      </w:pPr>
      <w:r w:rsidRPr="00EC77A2">
        <w:rPr>
          <w:rFonts w:ascii="Avenir Book" w:hAnsi="Avenir Book"/>
          <w:color w:val="000000" w:themeColor="text1"/>
          <w:sz w:val="22"/>
          <w:szCs w:val="22"/>
        </w:rPr>
        <w:t>Allow appropriate breaks between learning activities</w:t>
      </w:r>
    </w:p>
    <w:p w14:paraId="7D451715" w14:textId="77777777" w:rsidR="00EC77A2" w:rsidRPr="00EC77A2" w:rsidRDefault="00EC77A2" w:rsidP="00EC77A2">
      <w:pPr>
        <w:pStyle w:val="NormalWeb"/>
        <w:numPr>
          <w:ilvl w:val="0"/>
          <w:numId w:val="23"/>
        </w:numPr>
        <w:rPr>
          <w:rFonts w:ascii="Avenir Book" w:hAnsi="Avenir Book"/>
          <w:color w:val="000000" w:themeColor="text1"/>
          <w:sz w:val="22"/>
          <w:szCs w:val="22"/>
        </w:rPr>
      </w:pPr>
      <w:r w:rsidRPr="00EC77A2">
        <w:rPr>
          <w:rFonts w:ascii="Avenir Book" w:hAnsi="Avenir Book"/>
          <w:color w:val="000000" w:themeColor="text1"/>
          <w:sz w:val="22"/>
          <w:szCs w:val="22"/>
        </w:rPr>
        <w:t>Reflect programme specifications and learning outcomes</w:t>
      </w:r>
    </w:p>
    <w:p w14:paraId="5E93883F" w14:textId="77777777"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t>6.2 FE and 16–18 Safeguarding Considerations</w:t>
      </w:r>
    </w:p>
    <w:p w14:paraId="5CDED03F"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For FE learners, particularly those aged 16–18:</w:t>
      </w:r>
    </w:p>
    <w:p w14:paraId="6AE7E849" w14:textId="77777777" w:rsidR="00EC77A2" w:rsidRPr="00EC77A2" w:rsidRDefault="00EC77A2" w:rsidP="00EC77A2">
      <w:pPr>
        <w:pStyle w:val="NormalWeb"/>
        <w:numPr>
          <w:ilvl w:val="0"/>
          <w:numId w:val="24"/>
        </w:numPr>
        <w:rPr>
          <w:rFonts w:ascii="Avenir Book" w:hAnsi="Avenir Book"/>
          <w:color w:val="000000" w:themeColor="text1"/>
          <w:sz w:val="22"/>
          <w:szCs w:val="22"/>
        </w:rPr>
      </w:pPr>
      <w:r w:rsidRPr="00EC77A2">
        <w:rPr>
          <w:rFonts w:ascii="Avenir Book" w:hAnsi="Avenir Book"/>
          <w:color w:val="000000" w:themeColor="text1"/>
          <w:sz w:val="22"/>
          <w:szCs w:val="22"/>
        </w:rPr>
        <w:t>Timetabled sessions will take place within appropriate hours</w:t>
      </w:r>
    </w:p>
    <w:p w14:paraId="5DC72BD5" w14:textId="77777777" w:rsidR="00EC77A2" w:rsidRPr="00EC77A2" w:rsidRDefault="00EC77A2" w:rsidP="00EC77A2">
      <w:pPr>
        <w:pStyle w:val="NormalWeb"/>
        <w:numPr>
          <w:ilvl w:val="0"/>
          <w:numId w:val="24"/>
        </w:numPr>
        <w:rPr>
          <w:rFonts w:ascii="Avenir Book" w:hAnsi="Avenir Book"/>
          <w:color w:val="000000" w:themeColor="text1"/>
          <w:sz w:val="22"/>
          <w:szCs w:val="22"/>
        </w:rPr>
      </w:pPr>
      <w:r w:rsidRPr="00EC77A2">
        <w:rPr>
          <w:rFonts w:ascii="Avenir Book" w:hAnsi="Avenir Book"/>
          <w:color w:val="000000" w:themeColor="text1"/>
          <w:sz w:val="22"/>
          <w:szCs w:val="22"/>
        </w:rPr>
        <w:t>Adequate supervision will be ensured</w:t>
      </w:r>
    </w:p>
    <w:p w14:paraId="3CE97933" w14:textId="77777777" w:rsidR="00EC77A2" w:rsidRPr="00EC77A2" w:rsidRDefault="00EC77A2" w:rsidP="00EC77A2">
      <w:pPr>
        <w:pStyle w:val="NormalWeb"/>
        <w:numPr>
          <w:ilvl w:val="0"/>
          <w:numId w:val="24"/>
        </w:numPr>
        <w:rPr>
          <w:rFonts w:ascii="Avenir Book" w:hAnsi="Avenir Book"/>
          <w:color w:val="000000" w:themeColor="text1"/>
          <w:sz w:val="22"/>
          <w:szCs w:val="22"/>
        </w:rPr>
      </w:pPr>
      <w:r w:rsidRPr="00EC77A2">
        <w:rPr>
          <w:rFonts w:ascii="Avenir Book" w:hAnsi="Avenir Book"/>
          <w:color w:val="000000" w:themeColor="text1"/>
          <w:sz w:val="22"/>
          <w:szCs w:val="22"/>
        </w:rPr>
        <w:t>Transitions between sessions will be planned to minimise safeguarding risks</w:t>
      </w:r>
    </w:p>
    <w:p w14:paraId="63DB65CD" w14:textId="77777777" w:rsidR="00EC77A2" w:rsidRPr="00EC77A2" w:rsidRDefault="00EC77A2" w:rsidP="00EC77A2">
      <w:pPr>
        <w:pStyle w:val="Heading3"/>
        <w:rPr>
          <w:rFonts w:ascii="Avenir Book" w:hAnsi="Avenir Book"/>
          <w:b w:val="0"/>
          <w:bCs w:val="0"/>
          <w:color w:val="000000" w:themeColor="text1"/>
        </w:rPr>
      </w:pPr>
      <w:r w:rsidRPr="00EC77A2">
        <w:rPr>
          <w:rFonts w:ascii="Avenir Book" w:hAnsi="Avenir Book"/>
          <w:b w:val="0"/>
          <w:bCs w:val="0"/>
          <w:color w:val="000000" w:themeColor="text1"/>
        </w:rPr>
        <w:lastRenderedPageBreak/>
        <w:t>6.3 HE Provision</w:t>
      </w:r>
    </w:p>
    <w:p w14:paraId="72DD663A"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HE timetables will:</w:t>
      </w:r>
    </w:p>
    <w:p w14:paraId="32A7A978" w14:textId="77777777" w:rsidR="00EC77A2" w:rsidRPr="00EC77A2" w:rsidRDefault="00EC77A2" w:rsidP="00EC77A2">
      <w:pPr>
        <w:pStyle w:val="NormalWeb"/>
        <w:numPr>
          <w:ilvl w:val="0"/>
          <w:numId w:val="25"/>
        </w:numPr>
        <w:rPr>
          <w:rFonts w:ascii="Avenir Book" w:hAnsi="Avenir Book"/>
          <w:color w:val="000000" w:themeColor="text1"/>
          <w:sz w:val="22"/>
          <w:szCs w:val="22"/>
        </w:rPr>
      </w:pPr>
      <w:r w:rsidRPr="00EC77A2">
        <w:rPr>
          <w:rFonts w:ascii="Avenir Book" w:hAnsi="Avenir Book"/>
          <w:color w:val="000000" w:themeColor="text1"/>
          <w:sz w:val="22"/>
          <w:szCs w:val="22"/>
        </w:rPr>
        <w:t>Balance contact time with independent learning</w:t>
      </w:r>
    </w:p>
    <w:p w14:paraId="651D37BC" w14:textId="77777777" w:rsidR="00EC77A2" w:rsidRPr="00EC77A2" w:rsidRDefault="00EC77A2" w:rsidP="00EC77A2">
      <w:pPr>
        <w:pStyle w:val="NormalWeb"/>
        <w:numPr>
          <w:ilvl w:val="0"/>
          <w:numId w:val="25"/>
        </w:numPr>
        <w:rPr>
          <w:rFonts w:ascii="Avenir Book" w:hAnsi="Avenir Book"/>
          <w:color w:val="000000" w:themeColor="text1"/>
          <w:sz w:val="22"/>
          <w:szCs w:val="22"/>
        </w:rPr>
      </w:pPr>
      <w:r w:rsidRPr="00EC77A2">
        <w:rPr>
          <w:rFonts w:ascii="Avenir Book" w:hAnsi="Avenir Book"/>
          <w:color w:val="000000" w:themeColor="text1"/>
          <w:sz w:val="22"/>
          <w:szCs w:val="22"/>
        </w:rPr>
        <w:t>Reflect diverse learner needs, including part-time and commuter students</w:t>
      </w:r>
    </w:p>
    <w:p w14:paraId="2CF00AA7" w14:textId="77777777" w:rsidR="00EC77A2" w:rsidRPr="00EC77A2" w:rsidRDefault="00EC77A2" w:rsidP="00EC77A2">
      <w:pPr>
        <w:pStyle w:val="NormalWeb"/>
        <w:numPr>
          <w:ilvl w:val="0"/>
          <w:numId w:val="25"/>
        </w:numPr>
        <w:rPr>
          <w:rFonts w:ascii="Avenir Book" w:hAnsi="Avenir Book"/>
          <w:color w:val="000000" w:themeColor="text1"/>
          <w:sz w:val="22"/>
          <w:szCs w:val="22"/>
        </w:rPr>
      </w:pPr>
      <w:r w:rsidRPr="00EC77A2">
        <w:rPr>
          <w:rFonts w:ascii="Avenir Book" w:hAnsi="Avenir Book"/>
          <w:color w:val="000000" w:themeColor="text1"/>
          <w:sz w:val="22"/>
          <w:szCs w:val="22"/>
        </w:rPr>
        <w:t>Support academic engagement and progression</w:t>
      </w:r>
    </w:p>
    <w:p w14:paraId="0FD57CF7"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7. Publication and Communication</w:t>
      </w:r>
    </w:p>
    <w:p w14:paraId="0C27D079"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Timetables will be published in advance of each academic term. While the College will endeavour to minimise changes, amendments may be necessary due to operational or academic requirements. Any changes will be communicated through official College channels.</w:t>
      </w:r>
    </w:p>
    <w:p w14:paraId="6E756308"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8. Equality, Diversity, and Accessibility</w:t>
      </w:r>
    </w:p>
    <w:p w14:paraId="28652923"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The College is committed to ensuring that timetabling practices do not disadvantage learners or staff. Reasonable adjustments will be made in accordance with the Equality Act 2010 and relevant College policies.</w:t>
      </w:r>
    </w:p>
    <w:p w14:paraId="4BE7E786"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9. Monitoring and Review</w:t>
      </w:r>
    </w:p>
    <w:p w14:paraId="1AA9E848"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Timetabling effectiveness will be monitored through:</w:t>
      </w:r>
    </w:p>
    <w:p w14:paraId="0340DB84" w14:textId="77777777" w:rsidR="00EC77A2" w:rsidRPr="00EC77A2" w:rsidRDefault="00EC77A2" w:rsidP="00EC77A2">
      <w:pPr>
        <w:pStyle w:val="NormalWeb"/>
        <w:numPr>
          <w:ilvl w:val="0"/>
          <w:numId w:val="26"/>
        </w:numPr>
        <w:rPr>
          <w:rFonts w:ascii="Avenir Book" w:hAnsi="Avenir Book"/>
          <w:color w:val="000000" w:themeColor="text1"/>
          <w:sz w:val="22"/>
          <w:szCs w:val="22"/>
        </w:rPr>
      </w:pPr>
      <w:r w:rsidRPr="00EC77A2">
        <w:rPr>
          <w:rFonts w:ascii="Avenir Book" w:hAnsi="Avenir Book"/>
          <w:color w:val="000000" w:themeColor="text1"/>
          <w:sz w:val="22"/>
          <w:szCs w:val="22"/>
        </w:rPr>
        <w:t>Learner and student feedback</w:t>
      </w:r>
    </w:p>
    <w:p w14:paraId="6A3203C2" w14:textId="77777777" w:rsidR="00EC77A2" w:rsidRPr="00EC77A2" w:rsidRDefault="00EC77A2" w:rsidP="00EC77A2">
      <w:pPr>
        <w:pStyle w:val="NormalWeb"/>
        <w:numPr>
          <w:ilvl w:val="0"/>
          <w:numId w:val="26"/>
        </w:numPr>
        <w:rPr>
          <w:rFonts w:ascii="Avenir Book" w:hAnsi="Avenir Book"/>
          <w:color w:val="000000" w:themeColor="text1"/>
          <w:sz w:val="22"/>
          <w:szCs w:val="22"/>
        </w:rPr>
      </w:pPr>
      <w:r w:rsidRPr="00EC77A2">
        <w:rPr>
          <w:rFonts w:ascii="Avenir Book" w:hAnsi="Avenir Book"/>
          <w:color w:val="000000" w:themeColor="text1"/>
          <w:sz w:val="22"/>
          <w:szCs w:val="22"/>
        </w:rPr>
        <w:t>Attendance, retention, and progression data</w:t>
      </w:r>
    </w:p>
    <w:p w14:paraId="1BC71B26" w14:textId="77777777" w:rsidR="00EC77A2" w:rsidRPr="00EC77A2" w:rsidRDefault="00EC77A2" w:rsidP="00EC77A2">
      <w:pPr>
        <w:pStyle w:val="NormalWeb"/>
        <w:numPr>
          <w:ilvl w:val="0"/>
          <w:numId w:val="26"/>
        </w:numPr>
        <w:rPr>
          <w:rFonts w:ascii="Avenir Book" w:hAnsi="Avenir Book"/>
          <w:color w:val="000000" w:themeColor="text1"/>
          <w:sz w:val="22"/>
          <w:szCs w:val="22"/>
        </w:rPr>
      </w:pPr>
      <w:r w:rsidRPr="00EC77A2">
        <w:rPr>
          <w:rFonts w:ascii="Avenir Book" w:hAnsi="Avenir Book"/>
          <w:color w:val="000000" w:themeColor="text1"/>
          <w:sz w:val="22"/>
          <w:szCs w:val="22"/>
        </w:rPr>
        <w:t>Quality assurance and review processes</w:t>
      </w:r>
    </w:p>
    <w:p w14:paraId="406939FA"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This policy suite will be reviewed annually or in response to regulatory change.</w:t>
      </w:r>
    </w:p>
    <w:p w14:paraId="1FE1F600" w14:textId="77777777" w:rsidR="00EC77A2" w:rsidRPr="00EC77A2" w:rsidRDefault="002F1C64" w:rsidP="00EC77A2">
      <w:pPr>
        <w:rPr>
          <w:rFonts w:ascii="Avenir Book" w:hAnsi="Avenir Book"/>
          <w:color w:val="000000" w:themeColor="text1"/>
        </w:rPr>
      </w:pPr>
      <w:r w:rsidRPr="002F1C64">
        <w:rPr>
          <w:rFonts w:ascii="Avenir Book" w:hAnsi="Avenir Book"/>
          <w:noProof/>
          <w:color w:val="000000" w:themeColor="text1"/>
        </w:rPr>
        <w:pict w14:anchorId="2C56C9DA">
          <v:rect id="_x0000_i1027" alt="" style="width:451.3pt;height:.05pt;mso-width-percent:0;mso-height-percent:0;mso-width-percent:0;mso-height-percent:0" o:hralign="center" o:hrstd="t" o:hr="t" fillcolor="#a0a0a0" stroked="f"/>
        </w:pict>
      </w:r>
    </w:p>
    <w:p w14:paraId="3AA73119" w14:textId="77777777" w:rsidR="00EC77A2" w:rsidRPr="00EC77A2" w:rsidRDefault="00EC77A2" w:rsidP="00EC77A2">
      <w:pPr>
        <w:pStyle w:val="Heading1"/>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Appendix A: Timetabling Complaints and Appeals Procedure</w:t>
      </w:r>
    </w:p>
    <w:p w14:paraId="3B13506B"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A1. Purpose</w:t>
      </w:r>
    </w:p>
    <w:p w14:paraId="6F00E585"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This appendix outlines the process through which students may raise concerns, complaints, or appeals relating to timetabling arrangements, ensuring fair, transparent, and timely resolution.</w:t>
      </w:r>
    </w:p>
    <w:p w14:paraId="1072188E"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lastRenderedPageBreak/>
        <w:t>A2. Stage 1: Informal Resolution</w:t>
      </w:r>
    </w:p>
    <w:p w14:paraId="0424AF05" w14:textId="1D1595E2"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Students should raise concerns with their Course Leader in the first instance. Many issues are expected to be resolved informally at this stage.</w:t>
      </w:r>
    </w:p>
    <w:p w14:paraId="0E5B0579"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A3. Stage 2: Formal Complaint</w:t>
      </w:r>
    </w:p>
    <w:p w14:paraId="54ED9E57" w14:textId="07DC607C"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 xml:space="preserve">If unresolved, a formal complaint may be submitted in writing to </w:t>
      </w:r>
      <w:r w:rsidRPr="00EC77A2">
        <w:rPr>
          <w:rFonts w:ascii="Avenir Book" w:hAnsi="Avenir Book"/>
          <w:color w:val="000000" w:themeColor="text1"/>
          <w:sz w:val="22"/>
          <w:szCs w:val="22"/>
        </w:rPr>
        <w:t>the College Principal.</w:t>
      </w:r>
      <w:r w:rsidRPr="00EC77A2">
        <w:rPr>
          <w:rFonts w:ascii="Avenir Book" w:hAnsi="Avenir Book"/>
          <w:color w:val="000000" w:themeColor="text1"/>
          <w:sz w:val="22"/>
          <w:szCs w:val="22"/>
        </w:rPr>
        <w:t xml:space="preserve"> The complaint should outline the issue, its impact, and any supporting evidence. A written response will normally be provided within </w:t>
      </w:r>
      <w:r w:rsidRPr="00EC77A2">
        <w:rPr>
          <w:rStyle w:val="Strong"/>
          <w:rFonts w:ascii="Avenir Book" w:hAnsi="Avenir Book"/>
          <w:b w:val="0"/>
          <w:bCs w:val="0"/>
          <w:color w:val="000000" w:themeColor="text1"/>
          <w:sz w:val="22"/>
          <w:szCs w:val="22"/>
        </w:rPr>
        <w:t>10 working days</w:t>
      </w:r>
      <w:r w:rsidRPr="00EC77A2">
        <w:rPr>
          <w:rFonts w:ascii="Avenir Book" w:hAnsi="Avenir Book"/>
          <w:color w:val="000000" w:themeColor="text1"/>
          <w:sz w:val="22"/>
          <w:szCs w:val="22"/>
        </w:rPr>
        <w:t>.</w:t>
      </w:r>
    </w:p>
    <w:p w14:paraId="3AE04FF7"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A4. Stage 3: Appeal</w:t>
      </w:r>
    </w:p>
    <w:p w14:paraId="4A6880D6"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Appeals may be submitted where procedural irregularity or failure to consider relevant information is alleged. Appeals will be reviewed by a senior member of staff independent of the original decision. The outcome will be final.</w:t>
      </w:r>
    </w:p>
    <w:p w14:paraId="26235DDF"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A5. Safeguarding and Adjustments</w:t>
      </w:r>
    </w:p>
    <w:p w14:paraId="35D4FC78"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Complaints involving safeguarding concerns or reasonable adjustments will be prioritised and managed in accordance with relevant College policies.</w:t>
      </w:r>
    </w:p>
    <w:p w14:paraId="46E653DF" w14:textId="77777777" w:rsidR="00EC77A2" w:rsidRPr="00EC77A2" w:rsidRDefault="002F1C64" w:rsidP="00EC77A2">
      <w:pPr>
        <w:rPr>
          <w:rFonts w:ascii="Avenir Book" w:hAnsi="Avenir Book"/>
          <w:color w:val="000000" w:themeColor="text1"/>
        </w:rPr>
      </w:pPr>
      <w:r w:rsidRPr="002F1C64">
        <w:rPr>
          <w:rFonts w:ascii="Avenir Book" w:hAnsi="Avenir Book"/>
          <w:noProof/>
          <w:color w:val="000000" w:themeColor="text1"/>
        </w:rPr>
        <w:pict w14:anchorId="0B5905C1">
          <v:rect id="_x0000_i1026" alt="" style="width:451.3pt;height:.05pt;mso-width-percent:0;mso-height-percent:0;mso-width-percent:0;mso-height-percent:0" o:hralign="center" o:hrstd="t" o:hr="t" fillcolor="#a0a0a0" stroked="f"/>
        </w:pict>
      </w:r>
    </w:p>
    <w:p w14:paraId="0D2C6868" w14:textId="77777777" w:rsidR="00EC77A2" w:rsidRPr="00EC77A2" w:rsidRDefault="00EC77A2" w:rsidP="00EC77A2">
      <w:pPr>
        <w:pStyle w:val="Heading1"/>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Appendix B: HE Timetabling Addendum (QAA-Aligned)</w:t>
      </w:r>
    </w:p>
    <w:p w14:paraId="7BAE21D0"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B1. Academic Quality and Standards</w:t>
      </w:r>
    </w:p>
    <w:p w14:paraId="62542611"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HE timetabling arrangements support the delivery of programme learning outcomes and align with validated programme specifications and the UK Quality Code for Higher Education.</w:t>
      </w:r>
    </w:p>
    <w:p w14:paraId="51453D9B"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B2. Student Experience</w:t>
      </w:r>
    </w:p>
    <w:p w14:paraId="68593E92"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Timetables are designed to support meaningful engagement, clear communication, and effective access to learning resources.</w:t>
      </w:r>
    </w:p>
    <w:p w14:paraId="42C24A05"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B3. Learning Resources</w:t>
      </w:r>
    </w:p>
    <w:p w14:paraId="329E79A2"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HE timetables ensure appropriate access to specialist facilities, digital learning environments, and academic support services.</w:t>
      </w:r>
    </w:p>
    <w:p w14:paraId="04AD1133"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lastRenderedPageBreak/>
        <w:t>B4. Continuous Enhancement</w:t>
      </w:r>
    </w:p>
    <w:p w14:paraId="7E7980BB"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Student feedback is used to inform ongoing enhancement through established quality assurance mechanisms, including module evaluation and programme review.</w:t>
      </w:r>
    </w:p>
    <w:p w14:paraId="164C7069" w14:textId="77777777" w:rsidR="00EC77A2" w:rsidRPr="00EC77A2" w:rsidRDefault="002F1C64" w:rsidP="00EC77A2">
      <w:pPr>
        <w:rPr>
          <w:rFonts w:ascii="Avenir Book" w:hAnsi="Avenir Book"/>
          <w:color w:val="000000" w:themeColor="text1"/>
        </w:rPr>
      </w:pPr>
      <w:r w:rsidRPr="002F1C64">
        <w:rPr>
          <w:rFonts w:ascii="Avenir Book" w:hAnsi="Avenir Book"/>
          <w:noProof/>
          <w:color w:val="000000" w:themeColor="text1"/>
        </w:rPr>
        <w:pict w14:anchorId="10890FA3">
          <v:rect id="_x0000_i1025" alt="" style="width:451.3pt;height:.05pt;mso-width-percent:0;mso-height-percent:0;mso-width-percent:0;mso-height-percent:0" o:hralign="center" o:hrstd="t" o:hr="t" fillcolor="#a0a0a0" stroked="f"/>
        </w:pict>
      </w:r>
    </w:p>
    <w:p w14:paraId="0D8123F8" w14:textId="77777777" w:rsidR="00EC77A2" w:rsidRPr="00EC77A2" w:rsidRDefault="00EC77A2" w:rsidP="00EC77A2">
      <w:pPr>
        <w:pStyle w:val="Heading1"/>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Appendix C: FE Timetabling Addendum (Ofsted Inspection Focus)</w:t>
      </w:r>
    </w:p>
    <w:p w14:paraId="2E4DA0EF"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C1. Curriculum Intent, Implementation, and Impact</w:t>
      </w:r>
    </w:p>
    <w:p w14:paraId="7323C15F"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Timetabling supports:</w:t>
      </w:r>
    </w:p>
    <w:p w14:paraId="3DBE3D77" w14:textId="77777777" w:rsidR="00EC77A2" w:rsidRPr="00EC77A2" w:rsidRDefault="00EC77A2" w:rsidP="00EC77A2">
      <w:pPr>
        <w:pStyle w:val="NormalWeb"/>
        <w:numPr>
          <w:ilvl w:val="0"/>
          <w:numId w:val="27"/>
        </w:numPr>
        <w:rPr>
          <w:rFonts w:ascii="Avenir Book" w:hAnsi="Avenir Book"/>
          <w:color w:val="000000" w:themeColor="text1"/>
          <w:sz w:val="22"/>
          <w:szCs w:val="22"/>
        </w:rPr>
      </w:pPr>
      <w:r w:rsidRPr="00EC77A2">
        <w:rPr>
          <w:rStyle w:val="Strong"/>
          <w:rFonts w:ascii="Avenir Book" w:hAnsi="Avenir Book"/>
          <w:b w:val="0"/>
          <w:bCs w:val="0"/>
          <w:color w:val="000000" w:themeColor="text1"/>
          <w:sz w:val="22"/>
          <w:szCs w:val="22"/>
        </w:rPr>
        <w:t>Intent:</w:t>
      </w:r>
      <w:r w:rsidRPr="00EC77A2">
        <w:rPr>
          <w:rFonts w:ascii="Avenir Book" w:hAnsi="Avenir Book"/>
          <w:color w:val="000000" w:themeColor="text1"/>
          <w:sz w:val="22"/>
          <w:szCs w:val="22"/>
        </w:rPr>
        <w:t xml:space="preserve"> Coherent curriculum planning and progression pathways</w:t>
      </w:r>
    </w:p>
    <w:p w14:paraId="4648E3E8" w14:textId="77777777" w:rsidR="00EC77A2" w:rsidRPr="00EC77A2" w:rsidRDefault="00EC77A2" w:rsidP="00EC77A2">
      <w:pPr>
        <w:pStyle w:val="NormalWeb"/>
        <w:numPr>
          <w:ilvl w:val="0"/>
          <w:numId w:val="27"/>
        </w:numPr>
        <w:rPr>
          <w:rFonts w:ascii="Avenir Book" w:hAnsi="Avenir Book"/>
          <w:color w:val="000000" w:themeColor="text1"/>
          <w:sz w:val="22"/>
          <w:szCs w:val="22"/>
        </w:rPr>
      </w:pPr>
      <w:r w:rsidRPr="00EC77A2">
        <w:rPr>
          <w:rStyle w:val="Strong"/>
          <w:rFonts w:ascii="Avenir Book" w:hAnsi="Avenir Book"/>
          <w:b w:val="0"/>
          <w:bCs w:val="0"/>
          <w:color w:val="000000" w:themeColor="text1"/>
          <w:sz w:val="22"/>
          <w:szCs w:val="22"/>
        </w:rPr>
        <w:t>Implementation:</w:t>
      </w:r>
      <w:r w:rsidRPr="00EC77A2">
        <w:rPr>
          <w:rFonts w:ascii="Avenir Book" w:hAnsi="Avenir Book"/>
          <w:color w:val="000000" w:themeColor="text1"/>
          <w:sz w:val="22"/>
          <w:szCs w:val="22"/>
        </w:rPr>
        <w:t xml:space="preserve"> Consistent delivery of planned learning hours</w:t>
      </w:r>
    </w:p>
    <w:p w14:paraId="755C27C6" w14:textId="77777777" w:rsidR="00EC77A2" w:rsidRPr="00EC77A2" w:rsidRDefault="00EC77A2" w:rsidP="00EC77A2">
      <w:pPr>
        <w:pStyle w:val="NormalWeb"/>
        <w:numPr>
          <w:ilvl w:val="0"/>
          <w:numId w:val="27"/>
        </w:numPr>
        <w:rPr>
          <w:rFonts w:ascii="Avenir Book" w:hAnsi="Avenir Book"/>
          <w:color w:val="000000" w:themeColor="text1"/>
          <w:sz w:val="22"/>
          <w:szCs w:val="22"/>
        </w:rPr>
      </w:pPr>
      <w:r w:rsidRPr="00EC77A2">
        <w:rPr>
          <w:rStyle w:val="Strong"/>
          <w:rFonts w:ascii="Avenir Book" w:hAnsi="Avenir Book"/>
          <w:b w:val="0"/>
          <w:bCs w:val="0"/>
          <w:color w:val="000000" w:themeColor="text1"/>
          <w:sz w:val="22"/>
          <w:szCs w:val="22"/>
        </w:rPr>
        <w:t>Impact:</w:t>
      </w:r>
      <w:r w:rsidRPr="00EC77A2">
        <w:rPr>
          <w:rFonts w:ascii="Avenir Book" w:hAnsi="Avenir Book"/>
          <w:color w:val="000000" w:themeColor="text1"/>
          <w:sz w:val="22"/>
          <w:szCs w:val="22"/>
        </w:rPr>
        <w:t xml:space="preserve"> Positive learner outcomes, attendance, and progression</w:t>
      </w:r>
    </w:p>
    <w:p w14:paraId="6B6ED7BB"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C2. Safeguarding and Welfare</w:t>
      </w:r>
    </w:p>
    <w:p w14:paraId="16570411"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Timetabling arrangements prioritise learner safety, supervision, and wellbeing, particularly for 16–18 learners.</w:t>
      </w:r>
    </w:p>
    <w:p w14:paraId="2343BFA4"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C3. Attendance and Engagement</w:t>
      </w:r>
    </w:p>
    <w:p w14:paraId="791BCAA5"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Timetables support high expectations for attendance and punctuality, with monitoring in place to identify and address barriers.</w:t>
      </w:r>
    </w:p>
    <w:p w14:paraId="3A3A1480"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C4. Equality and Inclusion</w:t>
      </w:r>
    </w:p>
    <w:p w14:paraId="61315661"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Timetabling practices promote inclusion and remove barriers to participation, supporting all learners to succeed.</w:t>
      </w:r>
    </w:p>
    <w:p w14:paraId="3CCBA5F3" w14:textId="77777777" w:rsidR="00EC77A2" w:rsidRPr="00EC77A2" w:rsidRDefault="00EC77A2" w:rsidP="00EC77A2">
      <w:pPr>
        <w:pStyle w:val="Heading2"/>
        <w:rPr>
          <w:rFonts w:ascii="Avenir Book" w:hAnsi="Avenir Book"/>
          <w:b w:val="0"/>
          <w:bCs w:val="0"/>
          <w:color w:val="000000" w:themeColor="text1"/>
          <w:sz w:val="22"/>
          <w:szCs w:val="22"/>
        </w:rPr>
      </w:pPr>
      <w:r w:rsidRPr="00EC77A2">
        <w:rPr>
          <w:rFonts w:ascii="Avenir Book" w:hAnsi="Avenir Book"/>
          <w:b w:val="0"/>
          <w:bCs w:val="0"/>
          <w:color w:val="000000" w:themeColor="text1"/>
          <w:sz w:val="22"/>
          <w:szCs w:val="22"/>
        </w:rPr>
        <w:t>C5. Inspection Readiness</w:t>
      </w:r>
    </w:p>
    <w:p w14:paraId="6BAA2587" w14:textId="77777777" w:rsidR="00EC77A2" w:rsidRPr="00EC77A2" w:rsidRDefault="00EC77A2" w:rsidP="00EC77A2">
      <w:pPr>
        <w:pStyle w:val="NormalWeb"/>
        <w:rPr>
          <w:rFonts w:ascii="Avenir Book" w:hAnsi="Avenir Book"/>
          <w:color w:val="000000" w:themeColor="text1"/>
          <w:sz w:val="22"/>
          <w:szCs w:val="22"/>
        </w:rPr>
      </w:pPr>
      <w:r w:rsidRPr="00EC77A2">
        <w:rPr>
          <w:rFonts w:ascii="Avenir Book" w:hAnsi="Avenir Book"/>
          <w:color w:val="000000" w:themeColor="text1"/>
          <w:sz w:val="22"/>
          <w:szCs w:val="22"/>
        </w:rPr>
        <w:t>Evidence of effective and responsive timetabling is maintained to demonstrate compliance with Ofsted expectations.</w:t>
      </w:r>
    </w:p>
    <w:p w14:paraId="17C598F4" w14:textId="77777777" w:rsidR="0067744B" w:rsidRPr="00EC77A2" w:rsidRDefault="0067744B" w:rsidP="00EC77A2">
      <w:pPr>
        <w:pStyle w:val="Heading2"/>
        <w:rPr>
          <w:rFonts w:ascii="Helvetica" w:hAnsi="Helvetica"/>
          <w:b w:val="0"/>
          <w:bCs w:val="0"/>
          <w:color w:val="000000" w:themeColor="text1"/>
        </w:rPr>
      </w:pPr>
    </w:p>
    <w:sectPr w:rsidR="0067744B" w:rsidRPr="00EC77A2">
      <w:headerReference w:type="default" r:id="rId8"/>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16F3" w14:textId="77777777" w:rsidR="002F1C64" w:rsidRDefault="002F1C64">
      <w:pPr>
        <w:spacing w:after="0" w:line="240" w:lineRule="auto"/>
      </w:pPr>
      <w:r>
        <w:separator/>
      </w:r>
    </w:p>
  </w:endnote>
  <w:endnote w:type="continuationSeparator" w:id="0">
    <w:p w14:paraId="3F005E57" w14:textId="77777777" w:rsidR="002F1C64" w:rsidRDefault="002F1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37042D2-5943-5343-B5AF-EBF85AF77BD4}"/>
  </w:font>
  <w:font w:name="Times New Roman">
    <w:panose1 w:val="02020603050405020304"/>
    <w:charset w:val="00"/>
    <w:family w:val="roman"/>
    <w:pitch w:val="variable"/>
    <w:sig w:usb0="E0002EFF" w:usb1="C000785B" w:usb2="00000009" w:usb3="00000000" w:csb0="000001FF" w:csb1="00000000"/>
    <w:embedRegular r:id="rId2" w:fontKey="{74DAEEB6-5554-0247-B23B-BF4068B06FFD}"/>
    <w:embedBold r:id="rId3" w:fontKey="{6D191C1E-8C0C-D54E-B1D2-B22A73762A25}"/>
    <w:embedItalic r:id="rId4" w:fontKey="{9A9C78C3-41CF-4E42-B6E9-5DFC4BB1D542}"/>
    <w:embedBoldItalic r:id="rId5" w:fontKey="{C699FE0E-3E83-044E-9587-28ED7D5E56FA}"/>
  </w:font>
  <w:font w:name="Courier New">
    <w:panose1 w:val="02070309020205020404"/>
    <w:charset w:val="00"/>
    <w:family w:val="modern"/>
    <w:pitch w:val="fixed"/>
    <w:sig w:usb0="E0002AFF" w:usb1="C0007843" w:usb2="00000009" w:usb3="00000000" w:csb0="000001FF" w:csb1="00000000"/>
    <w:embedRegular r:id="rId6" w:fontKey="{16DDEADF-E384-0A43-9C2D-937D2C384900}"/>
  </w:font>
  <w:font w:name="Wingdings">
    <w:panose1 w:val="05000000000000000000"/>
    <w:charset w:val="4D"/>
    <w:family w:val="decorative"/>
    <w:pitch w:val="variable"/>
    <w:sig w:usb0="00000003" w:usb1="00000000" w:usb2="00000000" w:usb3="00000000" w:csb0="80000001" w:csb1="00000000"/>
    <w:embedRegular r:id="rId7" w:fontKey="{24737CA9-C8D1-3044-8A02-25ADE0B8A606}"/>
  </w:font>
  <w:font w:name="Cambria">
    <w:panose1 w:val="02040503050406030204"/>
    <w:charset w:val="00"/>
    <w:family w:val="roman"/>
    <w:pitch w:val="variable"/>
    <w:sig w:usb0="E00002FF" w:usb1="400004FF" w:usb2="00000000" w:usb3="00000000" w:csb0="0000019F" w:csb1="00000000"/>
    <w:embedRegular r:id="rId8" w:fontKey="{9DDBC2DA-2BF5-5E45-9DAB-AF6C2195277D}"/>
    <w:embedBold r:id="rId9" w:fontKey="{1BF55305-1A6E-4A41-902D-4FB953F1A0EE}"/>
    <w:embedItalic r:id="rId10" w:fontKey="{9B1C635A-AAFC-FB4E-8F30-C8FD3E66100B}"/>
    <w:embedBoldItalic r:id="rId11" w:fontKey="{9053D711-6F8F-8947-97D8-A0167D4F6959}"/>
  </w:font>
  <w:font w:name="Calibri">
    <w:panose1 w:val="020F0502020204030204"/>
    <w:charset w:val="00"/>
    <w:family w:val="swiss"/>
    <w:pitch w:val="variable"/>
    <w:sig w:usb0="E0002AFF" w:usb1="C000247B" w:usb2="00000009" w:usb3="00000000" w:csb0="000001FF" w:csb1="00000000"/>
    <w:embedRegular r:id="rId12" w:fontKey="{96168D60-E282-0F4E-A46E-6CB5548A5619}"/>
    <w:embedBold r:id="rId13" w:fontKey="{BAC38DD0-C127-5541-9546-3A16D4046323}"/>
    <w:embedItalic r:id="rId14" w:fontKey="{DEE29C72-3C0A-B84C-AFB5-037C7A1C93AE}"/>
    <w:embedBoldItalic r:id="rId15" w:fontKey="{86937D7F-5526-8043-B46C-B7191F145152}"/>
  </w:font>
  <w:font w:name="Courier">
    <w:panose1 w:val="02070309020205020404"/>
    <w:charset w:val="00"/>
    <w:family w:val="modern"/>
    <w:pitch w:val="fixed"/>
    <w:sig w:usb0="00000003" w:usb1="00000000" w:usb2="00000000" w:usb3="00000000" w:csb0="00000001" w:csb1="00000000"/>
    <w:embedRegular r:id="rId16" w:fontKey="{48A7E9B2-A3FF-8A4B-A47D-0405532B931F}"/>
  </w:font>
  <w:font w:name="Avenir Book">
    <w:panose1 w:val="02000503020000020003"/>
    <w:charset w:val="00"/>
    <w:family w:val="auto"/>
    <w:pitch w:val="variable"/>
    <w:sig w:usb0="800000AF" w:usb1="5000204A" w:usb2="00000000" w:usb3="00000000" w:csb0="0000009B" w:csb1="00000000"/>
    <w:embedRegular r:id="rId17" w:fontKey="{62182971-B507-EE4C-B5FE-1DE89C2F3E14}"/>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7E51" w14:textId="77777777" w:rsidR="002F1C64" w:rsidRDefault="002F1C64">
      <w:pPr>
        <w:spacing w:after="0" w:line="240" w:lineRule="auto"/>
      </w:pPr>
      <w:r>
        <w:separator/>
      </w:r>
    </w:p>
  </w:footnote>
  <w:footnote w:type="continuationSeparator" w:id="0">
    <w:p w14:paraId="4BEC6986" w14:textId="77777777" w:rsidR="002F1C64" w:rsidRDefault="002F1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3728" w14:textId="77777777" w:rsidR="00F2367F"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01054E34" wp14:editId="4395BF63">
          <wp:simplePos x="0" y="0"/>
          <wp:positionH relativeFrom="column">
            <wp:posOffset>4480560</wp:posOffset>
          </wp:positionH>
          <wp:positionV relativeFrom="paragraph">
            <wp:posOffset>-91439</wp:posOffset>
          </wp:positionV>
          <wp:extent cx="2131040" cy="426208"/>
          <wp:effectExtent l="0" t="0" r="0" b="0"/>
          <wp:wrapNone/>
          <wp:docPr id="293670270" name="image1.jp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black and white logo&#10;&#10;AI-generated content may be incorrect."/>
                  <pic:cNvPicPr preferRelativeResize="0"/>
                </pic:nvPicPr>
                <pic:blipFill>
                  <a:blip r:embed="rId1"/>
                  <a:srcRect/>
                  <a:stretch>
                    <a:fillRect/>
                  </a:stretch>
                </pic:blipFill>
                <pic:spPr>
                  <a:xfrm>
                    <a:off x="0" y="0"/>
                    <a:ext cx="2131040" cy="42620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EE9"/>
    <w:multiLevelType w:val="multilevel"/>
    <w:tmpl w:val="421C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06E4B"/>
    <w:multiLevelType w:val="multilevel"/>
    <w:tmpl w:val="F5C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862C5"/>
    <w:multiLevelType w:val="multilevel"/>
    <w:tmpl w:val="BD9E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C5ECB"/>
    <w:multiLevelType w:val="multilevel"/>
    <w:tmpl w:val="D40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E3FF8"/>
    <w:multiLevelType w:val="multilevel"/>
    <w:tmpl w:val="7C5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C7946"/>
    <w:multiLevelType w:val="multilevel"/>
    <w:tmpl w:val="9718DC2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B7926FD"/>
    <w:multiLevelType w:val="multilevel"/>
    <w:tmpl w:val="EC68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A693B"/>
    <w:multiLevelType w:val="multilevel"/>
    <w:tmpl w:val="75E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C00E5"/>
    <w:multiLevelType w:val="multilevel"/>
    <w:tmpl w:val="033C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973BC"/>
    <w:multiLevelType w:val="multilevel"/>
    <w:tmpl w:val="A79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56696"/>
    <w:multiLevelType w:val="multilevel"/>
    <w:tmpl w:val="A5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D6313B"/>
    <w:multiLevelType w:val="multilevel"/>
    <w:tmpl w:val="9E4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059C2"/>
    <w:multiLevelType w:val="multilevel"/>
    <w:tmpl w:val="514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22A7E"/>
    <w:multiLevelType w:val="multilevel"/>
    <w:tmpl w:val="99E6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D0776"/>
    <w:multiLevelType w:val="multilevel"/>
    <w:tmpl w:val="D992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F6D76"/>
    <w:multiLevelType w:val="multilevel"/>
    <w:tmpl w:val="53CA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5A3E01"/>
    <w:multiLevelType w:val="multilevel"/>
    <w:tmpl w:val="D70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93547"/>
    <w:multiLevelType w:val="multilevel"/>
    <w:tmpl w:val="412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72757"/>
    <w:multiLevelType w:val="multilevel"/>
    <w:tmpl w:val="D6C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F6924"/>
    <w:multiLevelType w:val="multilevel"/>
    <w:tmpl w:val="B9A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C666AC"/>
    <w:multiLevelType w:val="multilevel"/>
    <w:tmpl w:val="4626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ED3DAF"/>
    <w:multiLevelType w:val="multilevel"/>
    <w:tmpl w:val="2770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7253458">
    <w:abstractNumId w:val="5"/>
  </w:num>
  <w:num w:numId="2" w16cid:durableId="769814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46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84538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6000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8559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6641731">
    <w:abstractNumId w:val="14"/>
  </w:num>
  <w:num w:numId="8" w16cid:durableId="262760214">
    <w:abstractNumId w:val="13"/>
  </w:num>
  <w:num w:numId="9" w16cid:durableId="1145976687">
    <w:abstractNumId w:val="20"/>
  </w:num>
  <w:num w:numId="10" w16cid:durableId="1046836668">
    <w:abstractNumId w:val="15"/>
  </w:num>
  <w:num w:numId="11" w16cid:durableId="1317026229">
    <w:abstractNumId w:val="19"/>
  </w:num>
  <w:num w:numId="12" w16cid:durableId="1687368819">
    <w:abstractNumId w:val="3"/>
  </w:num>
  <w:num w:numId="13" w16cid:durableId="1242838329">
    <w:abstractNumId w:val="12"/>
  </w:num>
  <w:num w:numId="14" w16cid:durableId="137696767">
    <w:abstractNumId w:val="21"/>
  </w:num>
  <w:num w:numId="15" w16cid:durableId="1023017887">
    <w:abstractNumId w:val="7"/>
  </w:num>
  <w:num w:numId="16" w16cid:durableId="1609971106">
    <w:abstractNumId w:val="18"/>
  </w:num>
  <w:num w:numId="17" w16cid:durableId="599266750">
    <w:abstractNumId w:val="1"/>
  </w:num>
  <w:num w:numId="18" w16cid:durableId="1314722242">
    <w:abstractNumId w:val="10"/>
  </w:num>
  <w:num w:numId="19" w16cid:durableId="901139961">
    <w:abstractNumId w:val="17"/>
  </w:num>
  <w:num w:numId="20" w16cid:durableId="1162816674">
    <w:abstractNumId w:val="6"/>
  </w:num>
  <w:num w:numId="21" w16cid:durableId="1093624856">
    <w:abstractNumId w:val="16"/>
  </w:num>
  <w:num w:numId="22" w16cid:durableId="1688672897">
    <w:abstractNumId w:val="8"/>
  </w:num>
  <w:num w:numId="23" w16cid:durableId="1491096679">
    <w:abstractNumId w:val="0"/>
  </w:num>
  <w:num w:numId="24" w16cid:durableId="1812018109">
    <w:abstractNumId w:val="9"/>
  </w:num>
  <w:num w:numId="25" w16cid:durableId="1572274236">
    <w:abstractNumId w:val="4"/>
  </w:num>
  <w:num w:numId="26" w16cid:durableId="397478498">
    <w:abstractNumId w:val="11"/>
  </w:num>
  <w:num w:numId="27" w16cid:durableId="207900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7F"/>
    <w:rsid w:val="002F1C64"/>
    <w:rsid w:val="00644DC7"/>
    <w:rsid w:val="0067744B"/>
    <w:rsid w:val="00AA3F42"/>
    <w:rsid w:val="00EC77A2"/>
    <w:rsid w:val="00F0257A"/>
    <w:rsid w:val="00F2367F"/>
    <w:rsid w:val="00F4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EAC2"/>
  <w15:docId w15:val="{92B34FBF-1D00-DE40-A8E8-6000E6AE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paragraph" w:styleId="NormalWeb">
    <w:name w:val="Normal (Web)"/>
    <w:basedOn w:val="Normal"/>
    <w:uiPriority w:val="99"/>
    <w:semiHidden/>
    <w:unhideWhenUsed/>
    <w:rsid w:val="0067744B"/>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t286pc">
    <w:name w:val="t286pc"/>
    <w:basedOn w:val="DefaultParagraphFont"/>
    <w:rsid w:val="00AA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qEvKbnditFHbBzIDGQY5gcMkw==">CgMxLjA4AHIhMUdVRUNjR3ZyOGhkM3RiWklZaTZibnZiNGl2N0RlV3ZQ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981</Words>
  <Characters>5800</Characters>
  <Application>Microsoft Office Word</Application>
  <DocSecurity>0</DocSecurity>
  <Lines>152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Kat Bates</cp:lastModifiedBy>
  <cp:revision>2</cp:revision>
  <dcterms:created xsi:type="dcterms:W3CDTF">2026-01-09T15:00:00Z</dcterms:created>
  <dcterms:modified xsi:type="dcterms:W3CDTF">2026-01-09T15:00:00Z</dcterms:modified>
</cp:coreProperties>
</file>